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D70" w:rsidRDefault="00C16D70" w:rsidP="00C16D70">
      <w:pPr>
        <w:rPr>
          <w:rFonts w:ascii="Calibri" w:eastAsia="Times New Roman" w:hAnsi="Calibri"/>
          <w:sz w:val="22"/>
          <w:szCs w:val="22"/>
        </w:rPr>
      </w:pPr>
      <w:r>
        <w:rPr>
          <w:rFonts w:ascii="Calibri" w:eastAsia="Times New Roman" w:hAnsi="Calibri"/>
          <w:sz w:val="22"/>
          <w:szCs w:val="22"/>
        </w:rPr>
        <w:t>Bonjour,</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C16D70">
      <w:pPr>
        <w:rPr>
          <w:rFonts w:ascii="Calibri" w:eastAsia="Times New Roman" w:hAnsi="Calibri"/>
          <w:sz w:val="22"/>
          <w:szCs w:val="22"/>
        </w:rPr>
      </w:pPr>
      <w:r>
        <w:rPr>
          <w:rFonts w:ascii="Calibri" w:eastAsia="Times New Roman" w:hAnsi="Calibri"/>
          <w:sz w:val="22"/>
          <w:szCs w:val="22"/>
        </w:rPr>
        <w:t xml:space="preserve">Je vous prie de bien vouloir trouver ci-dessous les commentaires d’Airbus </w:t>
      </w:r>
      <w:proofErr w:type="spellStart"/>
      <w:r>
        <w:rPr>
          <w:rFonts w:ascii="Calibri" w:eastAsia="Times New Roman" w:hAnsi="Calibri"/>
          <w:sz w:val="22"/>
          <w:szCs w:val="22"/>
        </w:rPr>
        <w:t>Defence</w:t>
      </w:r>
      <w:proofErr w:type="spellEnd"/>
      <w:r>
        <w:rPr>
          <w:rFonts w:ascii="Calibri" w:eastAsia="Times New Roman" w:hAnsi="Calibri"/>
          <w:sz w:val="22"/>
          <w:szCs w:val="22"/>
        </w:rPr>
        <w:t xml:space="preserve"> and </w:t>
      </w:r>
      <w:proofErr w:type="spellStart"/>
      <w:r>
        <w:rPr>
          <w:rFonts w:ascii="Calibri" w:eastAsia="Times New Roman" w:hAnsi="Calibri"/>
          <w:sz w:val="22"/>
          <w:szCs w:val="22"/>
        </w:rPr>
        <w:t>Space</w:t>
      </w:r>
      <w:proofErr w:type="spellEnd"/>
      <w:r>
        <w:rPr>
          <w:rFonts w:ascii="Calibri" w:eastAsia="Times New Roman" w:hAnsi="Calibri"/>
          <w:sz w:val="22"/>
          <w:szCs w:val="22"/>
        </w:rPr>
        <w:t xml:space="preserve"> division </w:t>
      </w:r>
      <w:proofErr w:type="spellStart"/>
      <w:r>
        <w:rPr>
          <w:rFonts w:ascii="Calibri" w:eastAsia="Times New Roman" w:hAnsi="Calibri"/>
          <w:sz w:val="22"/>
          <w:szCs w:val="22"/>
        </w:rPr>
        <w:t>Space</w:t>
      </w:r>
      <w:proofErr w:type="spellEnd"/>
      <w:r>
        <w:rPr>
          <w:rFonts w:ascii="Calibri" w:eastAsia="Times New Roman" w:hAnsi="Calibri"/>
          <w:sz w:val="22"/>
          <w:szCs w:val="22"/>
        </w:rPr>
        <w:t xml:space="preserve"> System sur le document n°1 du livre blanc sur l’internet des objets.</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C16D70">
      <w:pPr>
        <w:rPr>
          <w:rFonts w:ascii="Calibri" w:eastAsia="Times New Roman" w:hAnsi="Calibri"/>
          <w:sz w:val="22"/>
          <w:szCs w:val="22"/>
        </w:rPr>
      </w:pPr>
      <w:r>
        <w:rPr>
          <w:rFonts w:ascii="Calibri" w:eastAsia="Times New Roman" w:hAnsi="Calibri"/>
          <w:sz w:val="22"/>
          <w:szCs w:val="22"/>
        </w:rPr>
        <w:t>Je reste à votre disposition pour plus de renseignements.</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Pr="00C16D70" w:rsidRDefault="00C16D70" w:rsidP="00C16D70">
      <w:pPr>
        <w:rPr>
          <w:rFonts w:ascii="Calibri" w:eastAsia="Times New Roman" w:hAnsi="Calibri"/>
          <w:sz w:val="22"/>
          <w:szCs w:val="22"/>
          <w:lang w:val="en-US"/>
        </w:rPr>
      </w:pPr>
      <w:proofErr w:type="spellStart"/>
      <w:r w:rsidRPr="00C16D70">
        <w:rPr>
          <w:rFonts w:ascii="Calibri" w:eastAsia="Times New Roman" w:hAnsi="Calibri"/>
          <w:sz w:val="22"/>
          <w:szCs w:val="22"/>
          <w:lang w:val="en-US"/>
        </w:rPr>
        <w:t>Cordialement</w:t>
      </w:r>
      <w:proofErr w:type="spellEnd"/>
    </w:p>
    <w:p w:rsidR="00C16D70" w:rsidRPr="00C16D70" w:rsidRDefault="00C16D70" w:rsidP="00C16D70">
      <w:pPr>
        <w:rPr>
          <w:rFonts w:ascii="Calibri" w:eastAsia="Times New Roman" w:hAnsi="Calibri"/>
          <w:sz w:val="22"/>
          <w:szCs w:val="22"/>
          <w:lang w:val="en-US"/>
        </w:rPr>
      </w:pPr>
      <w:r w:rsidRPr="00C16D70">
        <w:rPr>
          <w:rFonts w:ascii="Calibri" w:eastAsia="Times New Roman" w:hAnsi="Calibri"/>
          <w:sz w:val="22"/>
          <w:szCs w:val="22"/>
          <w:lang w:val="en-US"/>
        </w:rPr>
        <w:t> </w:t>
      </w:r>
    </w:p>
    <w:p w:rsidR="00C16D70" w:rsidRPr="00C16D70" w:rsidRDefault="00C16D70" w:rsidP="00C16D70">
      <w:pPr>
        <w:rPr>
          <w:rFonts w:ascii="Calibri" w:eastAsia="Times New Roman" w:hAnsi="Calibri"/>
          <w:sz w:val="22"/>
          <w:szCs w:val="22"/>
          <w:lang w:val="en-US"/>
        </w:rPr>
      </w:pPr>
      <w:proofErr w:type="spellStart"/>
      <w:r w:rsidRPr="00C16D70">
        <w:rPr>
          <w:rFonts w:ascii="Calibri" w:eastAsia="Times New Roman" w:hAnsi="Calibri"/>
          <w:sz w:val="22"/>
          <w:szCs w:val="22"/>
          <w:lang w:val="en-US"/>
        </w:rPr>
        <w:t>Duc</w:t>
      </w:r>
      <w:proofErr w:type="spellEnd"/>
      <w:r w:rsidRPr="00C16D70">
        <w:rPr>
          <w:rFonts w:ascii="Calibri" w:eastAsia="Times New Roman" w:hAnsi="Calibri"/>
          <w:sz w:val="22"/>
          <w:szCs w:val="22"/>
          <w:lang w:val="en-US"/>
        </w:rPr>
        <w:t xml:space="preserve"> PHAM-MINH</w:t>
      </w:r>
    </w:p>
    <w:p w:rsidR="00C16D70" w:rsidRPr="00C16D70" w:rsidRDefault="00C16D70" w:rsidP="00C16D70">
      <w:pPr>
        <w:rPr>
          <w:rFonts w:ascii="Calibri" w:eastAsia="Times New Roman" w:hAnsi="Calibri"/>
          <w:sz w:val="22"/>
          <w:szCs w:val="22"/>
          <w:lang w:val="en-US"/>
        </w:rPr>
      </w:pPr>
      <w:r w:rsidRPr="00C16D70">
        <w:rPr>
          <w:rFonts w:ascii="Calibri" w:eastAsia="Times New Roman" w:hAnsi="Calibri"/>
          <w:sz w:val="22"/>
          <w:szCs w:val="22"/>
          <w:lang w:val="en-US"/>
        </w:rPr>
        <w:t xml:space="preserve">System and </w:t>
      </w:r>
      <w:proofErr w:type="spellStart"/>
      <w:r w:rsidRPr="00C16D70">
        <w:rPr>
          <w:rFonts w:ascii="Calibri" w:eastAsia="Times New Roman" w:hAnsi="Calibri"/>
          <w:sz w:val="22"/>
          <w:szCs w:val="22"/>
          <w:lang w:val="en-US"/>
        </w:rPr>
        <w:t>Standardisation</w:t>
      </w:r>
      <w:proofErr w:type="spellEnd"/>
      <w:r w:rsidRPr="00C16D70">
        <w:rPr>
          <w:rFonts w:ascii="Calibri" w:eastAsia="Times New Roman" w:hAnsi="Calibri"/>
          <w:sz w:val="22"/>
          <w:szCs w:val="22"/>
          <w:lang w:val="en-US"/>
        </w:rPr>
        <w:t xml:space="preserve"> Engineer</w:t>
      </w:r>
    </w:p>
    <w:p w:rsidR="00C16D70" w:rsidRPr="00C16D70" w:rsidRDefault="00C16D70" w:rsidP="00C16D70">
      <w:pPr>
        <w:rPr>
          <w:rFonts w:ascii="Calibri" w:eastAsia="Times New Roman" w:hAnsi="Calibri"/>
          <w:sz w:val="22"/>
          <w:szCs w:val="22"/>
          <w:lang w:val="en-US"/>
        </w:rPr>
      </w:pPr>
      <w:r w:rsidRPr="00C16D70">
        <w:rPr>
          <w:rFonts w:ascii="Calibri" w:eastAsia="Times New Roman" w:hAnsi="Calibri"/>
          <w:i/>
          <w:iCs/>
          <w:sz w:val="18"/>
          <w:szCs w:val="18"/>
          <w:lang w:val="en-US"/>
        </w:rPr>
        <w:t xml:space="preserve">Airbus </w:t>
      </w:r>
      <w:proofErr w:type="spellStart"/>
      <w:r w:rsidRPr="00C16D70">
        <w:rPr>
          <w:rFonts w:ascii="Calibri" w:eastAsia="Times New Roman" w:hAnsi="Calibri"/>
          <w:i/>
          <w:iCs/>
          <w:sz w:val="18"/>
          <w:szCs w:val="18"/>
          <w:lang w:val="en-US"/>
        </w:rPr>
        <w:t>Defence</w:t>
      </w:r>
      <w:proofErr w:type="spellEnd"/>
      <w:r w:rsidRPr="00C16D70">
        <w:rPr>
          <w:rFonts w:ascii="Calibri" w:eastAsia="Times New Roman" w:hAnsi="Calibri"/>
          <w:i/>
          <w:iCs/>
          <w:sz w:val="18"/>
          <w:szCs w:val="18"/>
          <w:lang w:val="en-US"/>
        </w:rPr>
        <w:t xml:space="preserve"> and Space</w:t>
      </w:r>
    </w:p>
    <w:p w:rsidR="00C16D70" w:rsidRPr="00C16D70" w:rsidRDefault="00C16D70" w:rsidP="00C16D70">
      <w:pPr>
        <w:rPr>
          <w:rFonts w:ascii="Calibri" w:eastAsia="Times New Roman" w:hAnsi="Calibri"/>
          <w:sz w:val="22"/>
          <w:szCs w:val="22"/>
          <w:lang w:val="en-US"/>
        </w:rPr>
      </w:pPr>
      <w:r w:rsidRPr="00C16D70">
        <w:rPr>
          <w:rFonts w:ascii="Calibri" w:eastAsia="Times New Roman" w:hAnsi="Calibri"/>
          <w:i/>
          <w:iCs/>
          <w:sz w:val="18"/>
          <w:szCs w:val="18"/>
          <w:lang w:val="en-US"/>
        </w:rPr>
        <w:t>Space System</w:t>
      </w:r>
    </w:p>
    <w:p w:rsidR="00C16D70" w:rsidRDefault="00C16D70" w:rsidP="00C16D70">
      <w:pPr>
        <w:rPr>
          <w:rFonts w:ascii="Calibri" w:eastAsia="Times New Roman" w:hAnsi="Calibri"/>
          <w:sz w:val="22"/>
          <w:szCs w:val="22"/>
        </w:rPr>
      </w:pPr>
      <w:r>
        <w:rPr>
          <w:rFonts w:ascii="Calibri" w:eastAsia="Times New Roman" w:hAnsi="Calibri"/>
          <w:i/>
          <w:iCs/>
          <w:sz w:val="18"/>
          <w:szCs w:val="18"/>
        </w:rPr>
        <w:t>31 rue des Cosmonautes</w:t>
      </w:r>
    </w:p>
    <w:p w:rsidR="00C16D70" w:rsidRDefault="00C16D70" w:rsidP="00C16D70">
      <w:pPr>
        <w:rPr>
          <w:rFonts w:ascii="Calibri" w:eastAsia="Times New Roman" w:hAnsi="Calibri"/>
          <w:sz w:val="22"/>
          <w:szCs w:val="22"/>
        </w:rPr>
      </w:pPr>
      <w:r>
        <w:rPr>
          <w:rFonts w:ascii="Calibri" w:eastAsia="Times New Roman" w:hAnsi="Calibri"/>
          <w:i/>
          <w:iCs/>
          <w:sz w:val="18"/>
          <w:szCs w:val="18"/>
        </w:rPr>
        <w:t xml:space="preserve">ZI du </w:t>
      </w:r>
      <w:proofErr w:type="spellStart"/>
      <w:r>
        <w:rPr>
          <w:rFonts w:ascii="Calibri" w:eastAsia="Times New Roman" w:hAnsi="Calibri"/>
          <w:i/>
          <w:iCs/>
          <w:sz w:val="18"/>
          <w:szCs w:val="18"/>
        </w:rPr>
        <w:t>Palays</w:t>
      </w:r>
      <w:proofErr w:type="spellEnd"/>
    </w:p>
    <w:p w:rsidR="00C16D70" w:rsidRDefault="00C16D70" w:rsidP="00C16D70">
      <w:pPr>
        <w:rPr>
          <w:rFonts w:ascii="Calibri" w:eastAsia="Times New Roman" w:hAnsi="Calibri"/>
          <w:sz w:val="22"/>
          <w:szCs w:val="22"/>
        </w:rPr>
      </w:pPr>
      <w:r>
        <w:rPr>
          <w:rFonts w:ascii="Calibri" w:eastAsia="Times New Roman" w:hAnsi="Calibri"/>
          <w:i/>
          <w:iCs/>
          <w:sz w:val="18"/>
          <w:szCs w:val="18"/>
        </w:rPr>
        <w:t>31 402 Toulouse Cedex 4</w:t>
      </w:r>
    </w:p>
    <w:p w:rsidR="00C16D70" w:rsidRDefault="00C16D70" w:rsidP="00C16D70">
      <w:pPr>
        <w:rPr>
          <w:rFonts w:ascii="Calibri" w:eastAsia="Times New Roman" w:hAnsi="Calibri"/>
          <w:sz w:val="22"/>
          <w:szCs w:val="22"/>
        </w:rPr>
      </w:pPr>
      <w:r>
        <w:rPr>
          <w:rFonts w:ascii="Calibri" w:eastAsia="Times New Roman" w:hAnsi="Calibri"/>
          <w:i/>
          <w:iCs/>
          <w:sz w:val="18"/>
          <w:szCs w:val="18"/>
        </w:rPr>
        <w:t>Tel : 05 6219 8535</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C16D70">
      <w:pPr>
        <w:rPr>
          <w:rFonts w:ascii="Calibri" w:eastAsia="Times New Roman" w:hAnsi="Calibri"/>
          <w:sz w:val="22"/>
          <w:szCs w:val="22"/>
        </w:rPr>
      </w:pPr>
      <w:r>
        <w:rPr>
          <w:rFonts w:ascii="Calibri" w:eastAsia="Times New Roman" w:hAnsi="Calibri"/>
          <w:i/>
          <w:iCs/>
          <w:sz w:val="18"/>
          <w:szCs w:val="18"/>
        </w:rPr>
        <w:t>%%%%%%%%%%%%%%%%%%%%%%%%%%%%%%%%%%%%%%%%%%%%%%%%%%%%%%%%%%%%%%</w:t>
      </w:r>
    </w:p>
    <w:p w:rsidR="00C16D70" w:rsidRDefault="00C16D70" w:rsidP="00C16D70">
      <w:pPr>
        <w:rPr>
          <w:rFonts w:ascii="Calibri" w:eastAsia="Times New Roman" w:hAnsi="Calibri"/>
          <w:sz w:val="22"/>
          <w:szCs w:val="22"/>
        </w:rPr>
      </w:pPr>
      <w:r>
        <w:rPr>
          <w:rFonts w:ascii="Calibri" w:eastAsia="Times New Roman" w:hAnsi="Calibri"/>
          <w:sz w:val="22"/>
          <w:szCs w:val="22"/>
        </w:rPr>
        <w:t xml:space="preserve">PROJET DE LIVRE BLANC - PRÉPARER LA RÉVOLUTION DE L’INTERNET DES OBJETS </w:t>
      </w:r>
    </w:p>
    <w:p w:rsidR="00C16D70" w:rsidRDefault="00C16D70" w:rsidP="00C16D70">
      <w:pPr>
        <w:rPr>
          <w:rFonts w:ascii="Calibri" w:eastAsia="Times New Roman" w:hAnsi="Calibri"/>
          <w:sz w:val="22"/>
          <w:szCs w:val="22"/>
        </w:rPr>
      </w:pPr>
      <w:r>
        <w:rPr>
          <w:rFonts w:ascii="Calibri" w:eastAsia="Times New Roman" w:hAnsi="Calibri"/>
          <w:b/>
          <w:bCs/>
          <w:sz w:val="22"/>
          <w:szCs w:val="22"/>
        </w:rPr>
        <w:t>Document n°1 : une cartographie des enjeux</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C16D70">
      <w:pPr>
        <w:numPr>
          <w:ilvl w:val="0"/>
          <w:numId w:val="12"/>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L’écosystème de l’internet des objets</w:t>
      </w:r>
    </w:p>
    <w:p w:rsidR="00C16D70" w:rsidRDefault="00C16D70" w:rsidP="00C16D70">
      <w:pPr>
        <w:rPr>
          <w:rFonts w:ascii="Calibri" w:eastAsia="Times New Roman" w:hAnsi="Calibri"/>
          <w:sz w:val="22"/>
          <w:szCs w:val="22"/>
        </w:rPr>
      </w:pPr>
      <w:proofErr w:type="gramStart"/>
      <w:r>
        <w:rPr>
          <w:rFonts w:ascii="Calibri" w:eastAsia="Times New Roman" w:hAnsi="Calibri"/>
          <w:sz w:val="22"/>
          <w:szCs w:val="22"/>
        </w:rPr>
        <w:t>pas</w:t>
      </w:r>
      <w:proofErr w:type="gramEnd"/>
      <w:r>
        <w:rPr>
          <w:rFonts w:ascii="Calibri" w:eastAsia="Times New Roman" w:hAnsi="Calibri"/>
          <w:sz w:val="22"/>
          <w:szCs w:val="22"/>
        </w:rPr>
        <w:t xml:space="preserve"> de commentaires</w:t>
      </w:r>
    </w:p>
    <w:p w:rsidR="00C16D70" w:rsidRDefault="00C16D70" w:rsidP="00C16D70">
      <w:pPr>
        <w:numPr>
          <w:ilvl w:val="0"/>
          <w:numId w:val="13"/>
        </w:numPr>
        <w:spacing w:before="100" w:beforeAutospacing="1" w:after="100" w:afterAutospacing="1"/>
        <w:ind w:left="0"/>
        <w:rPr>
          <w:rFonts w:ascii="Calibri" w:eastAsia="Times New Roman" w:hAnsi="Calibri"/>
          <w:sz w:val="22"/>
          <w:szCs w:val="22"/>
        </w:rPr>
      </w:pPr>
      <w:r>
        <w:rPr>
          <w:rFonts w:ascii="Calibri" w:eastAsia="Times New Roman" w:hAnsi="Calibri"/>
          <w:b/>
          <w:bCs/>
          <w:sz w:val="22"/>
          <w:szCs w:val="22"/>
        </w:rPr>
        <w:t>Les infrastructures de connectivité</w:t>
      </w:r>
    </w:p>
    <w:p w:rsidR="00C16D70" w:rsidRDefault="00C16D70" w:rsidP="00C16D70">
      <w:pPr>
        <w:rPr>
          <w:rFonts w:ascii="Calibri" w:eastAsia="Times New Roman" w:hAnsi="Calibri"/>
          <w:sz w:val="22"/>
          <w:szCs w:val="22"/>
        </w:rPr>
      </w:pPr>
      <w:r>
        <w:rPr>
          <w:rFonts w:ascii="Calibri" w:eastAsia="Times New Roman" w:hAnsi="Calibri"/>
          <w:sz w:val="22"/>
          <w:szCs w:val="22"/>
        </w:rPr>
        <w:t>Commentaire : Les réseaux satellites déployés (</w:t>
      </w:r>
      <w:proofErr w:type="spellStart"/>
      <w:r>
        <w:rPr>
          <w:rFonts w:ascii="Calibri" w:eastAsia="Times New Roman" w:hAnsi="Calibri"/>
          <w:sz w:val="22"/>
          <w:szCs w:val="22"/>
        </w:rPr>
        <w:t>Inmarsat</w:t>
      </w:r>
      <w:proofErr w:type="spellEnd"/>
      <w:r>
        <w:rPr>
          <w:rFonts w:ascii="Calibri" w:eastAsia="Times New Roman" w:hAnsi="Calibri"/>
          <w:sz w:val="22"/>
          <w:szCs w:val="22"/>
        </w:rPr>
        <w:t xml:space="preserve">, Iridium, </w:t>
      </w:r>
      <w:proofErr w:type="spellStart"/>
      <w:r>
        <w:rPr>
          <w:rFonts w:ascii="Calibri" w:eastAsia="Times New Roman" w:hAnsi="Calibri"/>
          <w:sz w:val="22"/>
          <w:szCs w:val="22"/>
        </w:rPr>
        <w:t>Globalstar</w:t>
      </w:r>
      <w:proofErr w:type="spellEnd"/>
      <w:r>
        <w:rPr>
          <w:rFonts w:ascii="Calibri" w:eastAsia="Times New Roman" w:hAnsi="Calibri"/>
          <w:sz w:val="22"/>
          <w:szCs w:val="22"/>
        </w:rPr>
        <w:t xml:space="preserve">) ou en cours de déploiement (O3b, </w:t>
      </w:r>
      <w:proofErr w:type="spellStart"/>
      <w:r>
        <w:rPr>
          <w:rFonts w:ascii="Calibri" w:eastAsia="Times New Roman" w:hAnsi="Calibri"/>
          <w:sz w:val="22"/>
          <w:szCs w:val="22"/>
        </w:rPr>
        <w:t>OneWeb</w:t>
      </w:r>
      <w:proofErr w:type="spellEnd"/>
      <w:r>
        <w:rPr>
          <w:rFonts w:ascii="Calibri" w:eastAsia="Times New Roman" w:hAnsi="Calibri"/>
          <w:sz w:val="22"/>
          <w:szCs w:val="22"/>
        </w:rPr>
        <w:t>) permettent d'offrir une connectivité étendue pour l'internet des objets, notamment dans des zones non couvertes par les technologies terrestres (zones blanches, mer, déserts) et d'assurer une résilience des services terrestres en cas de désastres (incendie, tremblement de terre, inondations). L'intégration des technologies satellites dans les standards 5G à venir devrait être un facteur d'accélération du marché de l'internet de objets en et hors d'Europe.</w:t>
      </w:r>
    </w:p>
    <w:p w:rsidR="00C16D70" w:rsidRDefault="00C16D70" w:rsidP="00C16D70">
      <w:pPr>
        <w:rPr>
          <w:rFonts w:ascii="Calibri" w:eastAsia="Times New Roman" w:hAnsi="Calibri"/>
          <w:sz w:val="22"/>
          <w:szCs w:val="22"/>
        </w:rPr>
      </w:pPr>
      <w:r>
        <w:rPr>
          <w:rFonts w:ascii="Calibri" w:eastAsia="Times New Roman" w:hAnsi="Calibri"/>
          <w:sz w:val="22"/>
          <w:szCs w:val="22"/>
        </w:rPr>
        <w:t>Pourriez-vous modifier :</w:t>
      </w:r>
    </w:p>
    <w:p w:rsidR="00C16D70" w:rsidRDefault="00C16D70" w:rsidP="00C16D70">
      <w:pPr>
        <w:numPr>
          <w:ilvl w:val="0"/>
          <w:numId w:val="14"/>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la figure du §2.1 pour mentionner les technologies satellites, notamment le GMR et le protocole BGAN standardisés à l’ETSI</w:t>
      </w:r>
    </w:p>
    <w:p w:rsidR="00C16D70" w:rsidRDefault="00C16D70" w:rsidP="00C16D70">
      <w:pPr>
        <w:numPr>
          <w:ilvl w:val="0"/>
          <w:numId w:val="14"/>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 xml:space="preserve">le texte du §2.1.2 et ajouter « - les solutions de types satellite Géo ou non-Géo actuellement déployées (ex : </w:t>
      </w:r>
      <w:proofErr w:type="spellStart"/>
      <w:r>
        <w:rPr>
          <w:rFonts w:ascii="Calibri" w:eastAsia="Times New Roman" w:hAnsi="Calibri"/>
          <w:sz w:val="22"/>
          <w:szCs w:val="22"/>
        </w:rPr>
        <w:t>Inmarsat</w:t>
      </w:r>
      <w:proofErr w:type="spellEnd"/>
      <w:r>
        <w:rPr>
          <w:rFonts w:ascii="Calibri" w:eastAsia="Times New Roman" w:hAnsi="Calibri"/>
          <w:sz w:val="22"/>
          <w:szCs w:val="22"/>
        </w:rPr>
        <w:t xml:space="preserve">, Iridium, </w:t>
      </w:r>
      <w:proofErr w:type="spellStart"/>
      <w:r>
        <w:rPr>
          <w:rFonts w:ascii="Calibri" w:eastAsia="Times New Roman" w:hAnsi="Calibri"/>
          <w:sz w:val="22"/>
          <w:szCs w:val="22"/>
        </w:rPr>
        <w:t>GlobalStar</w:t>
      </w:r>
      <w:proofErr w:type="spellEnd"/>
      <w:r>
        <w:rPr>
          <w:rFonts w:ascii="Calibri" w:eastAsia="Times New Roman" w:hAnsi="Calibri"/>
          <w:sz w:val="22"/>
          <w:szCs w:val="22"/>
        </w:rPr>
        <w:t xml:space="preserve">) ou en cours de déploiement (ex : O3b, </w:t>
      </w:r>
      <w:proofErr w:type="spellStart"/>
      <w:r>
        <w:rPr>
          <w:rFonts w:ascii="Calibri" w:eastAsia="Times New Roman" w:hAnsi="Calibri"/>
          <w:sz w:val="22"/>
          <w:szCs w:val="22"/>
        </w:rPr>
        <w:t>OneWeb</w:t>
      </w:r>
      <w:proofErr w:type="spellEnd"/>
      <w:r>
        <w:rPr>
          <w:rFonts w:ascii="Calibri" w:eastAsia="Times New Roman" w:hAnsi="Calibri"/>
          <w:sz w:val="22"/>
          <w:szCs w:val="22"/>
        </w:rPr>
        <w:t>) » </w:t>
      </w:r>
    </w:p>
    <w:p w:rsidR="00C16D70" w:rsidRDefault="00C16D70" w:rsidP="00C16D70">
      <w:pPr>
        <w:numPr>
          <w:ilvl w:val="0"/>
          <w:numId w:val="14"/>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ajouter un § sur la standardisation effectuée à l’ETSI : « En ce qui concerne les technologies satellites, les opérateurs et équipementiers de systèmes satellites, collaborent au sein de l’ETSI à l’adaptation des normes de réseaux terrestres aux contraintes satellites, notamment 2G, 3G, 4G et la future 5G. Ces travaux devraient faciliter l’intégration des technologies satellites et la convergence satellite-terrestre. »</w:t>
      </w:r>
    </w:p>
    <w:p w:rsidR="00C16D70" w:rsidRDefault="00C16D70" w:rsidP="00C16D70">
      <w:pPr>
        <w:numPr>
          <w:ilvl w:val="0"/>
          <w:numId w:val="14"/>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ajouter après le § « </w:t>
      </w:r>
      <w:r>
        <w:rPr>
          <w:rFonts w:ascii="Calibri" w:eastAsia="Times New Roman" w:hAnsi="Calibri"/>
          <w:i/>
          <w:iCs/>
          <w:sz w:val="22"/>
          <w:szCs w:val="22"/>
        </w:rPr>
        <w:t>Les réseaux cellulaires traditionnels ont depuis longtemps(…) sur les marchés de gros et de détail. »</w:t>
      </w:r>
      <w:r>
        <w:rPr>
          <w:rFonts w:ascii="Calibri" w:eastAsia="Times New Roman" w:hAnsi="Calibri"/>
          <w:sz w:val="22"/>
          <w:szCs w:val="22"/>
        </w:rPr>
        <w:t xml:space="preserve"> </w:t>
      </w:r>
    </w:p>
    <w:p w:rsidR="00C16D70" w:rsidRDefault="00C16D70" w:rsidP="00C16D70">
      <w:pPr>
        <w:rPr>
          <w:rFonts w:ascii="Calibri" w:eastAsia="Times New Roman" w:hAnsi="Calibri"/>
          <w:sz w:val="22"/>
          <w:szCs w:val="22"/>
        </w:rPr>
      </w:pPr>
      <w:r>
        <w:rPr>
          <w:rFonts w:ascii="Calibri" w:eastAsia="Times New Roman" w:hAnsi="Calibri"/>
          <w:sz w:val="22"/>
          <w:szCs w:val="22"/>
        </w:rPr>
        <w:t xml:space="preserve">        « L’intégration des technologies satellite permettra d’étendre cette zone de service y compris dans les zones les plus reculées (zone blanches), non couverte par les réseaux cellulaires traditionnels (mer, désert) ou pour lesquelles il n’est pas possible de disposer d’accord de </w:t>
      </w:r>
      <w:proofErr w:type="spellStart"/>
      <w:r>
        <w:rPr>
          <w:rFonts w:ascii="Calibri" w:eastAsia="Times New Roman" w:hAnsi="Calibri"/>
          <w:sz w:val="22"/>
          <w:szCs w:val="22"/>
        </w:rPr>
        <w:t>roaming</w:t>
      </w:r>
      <w:proofErr w:type="spellEnd"/>
      <w:r>
        <w:rPr>
          <w:rFonts w:ascii="Calibri" w:eastAsia="Times New Roman" w:hAnsi="Calibri"/>
          <w:sz w:val="22"/>
          <w:szCs w:val="22"/>
        </w:rPr>
        <w:t xml:space="preserve"> (zones de conflits). »</w:t>
      </w:r>
    </w:p>
    <w:p w:rsidR="00C16D70" w:rsidRDefault="00C16D70" w:rsidP="00C16D70">
      <w:pPr>
        <w:numPr>
          <w:ilvl w:val="0"/>
          <w:numId w:val="15"/>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lastRenderedPageBreak/>
        <w:t>§2.2.2 ajouter après le § : « </w:t>
      </w:r>
      <w:r>
        <w:rPr>
          <w:rFonts w:ascii="clear_sansregular" w:eastAsia="Times New Roman" w:hAnsi="clear_sansregular"/>
          <w:i/>
          <w:iCs/>
          <w:sz w:val="21"/>
          <w:szCs w:val="21"/>
        </w:rPr>
        <w:t xml:space="preserve">Les solutions actuellement mises en œuvre (…) </w:t>
      </w:r>
      <w:r>
        <w:rPr>
          <w:rFonts w:ascii="Calibri" w:eastAsia="Times New Roman" w:hAnsi="Calibri"/>
          <w:i/>
          <w:iCs/>
          <w:sz w:val="22"/>
          <w:szCs w:val="22"/>
        </w:rPr>
        <w:t> </w:t>
      </w:r>
      <w:r>
        <w:rPr>
          <w:rFonts w:ascii="clear_sansregular" w:eastAsia="Times New Roman" w:hAnsi="clear_sansregular"/>
          <w:i/>
          <w:iCs/>
          <w:sz w:val="21"/>
          <w:szCs w:val="21"/>
        </w:rPr>
        <w:t>accords d’itinérance avec plusieurs opérateurs français</w:t>
      </w:r>
      <w:r>
        <w:rPr>
          <w:rFonts w:ascii="Calibri" w:eastAsia="Times New Roman" w:hAnsi="Calibri"/>
          <w:sz w:val="22"/>
          <w:szCs w:val="22"/>
        </w:rPr>
        <w:t>» :</w:t>
      </w:r>
    </w:p>
    <w:p w:rsidR="00C16D70" w:rsidRDefault="00C16D70" w:rsidP="00C16D70">
      <w:pPr>
        <w:rPr>
          <w:rFonts w:ascii="Calibri" w:eastAsia="Times New Roman" w:hAnsi="Calibri"/>
          <w:sz w:val="22"/>
          <w:szCs w:val="22"/>
        </w:rPr>
      </w:pPr>
      <w:r>
        <w:rPr>
          <w:rFonts w:ascii="Calibri" w:eastAsia="Times New Roman" w:hAnsi="Calibri"/>
          <w:color w:val="1F497D"/>
          <w:sz w:val="22"/>
          <w:szCs w:val="22"/>
        </w:rPr>
        <w:t>        « </w:t>
      </w:r>
      <w:r>
        <w:rPr>
          <w:rFonts w:ascii="Calibri" w:eastAsia="Times New Roman" w:hAnsi="Calibri"/>
          <w:color w:val="000000"/>
          <w:sz w:val="22"/>
          <w:szCs w:val="22"/>
        </w:rPr>
        <w:t>Des solutions plus ambitieuses, intégrant technologies satellites et terrestres pourraient être développée pour assurer résilience et confidentialités des données sur et en dehors du territoire national »</w:t>
      </w:r>
    </w:p>
    <w:p w:rsidR="00C16D70" w:rsidRDefault="00C16D70" w:rsidP="00C16D70">
      <w:pPr>
        <w:numPr>
          <w:ilvl w:val="0"/>
          <w:numId w:val="16"/>
        </w:numPr>
        <w:spacing w:before="100" w:beforeAutospacing="1" w:after="100" w:afterAutospacing="1"/>
        <w:ind w:left="0"/>
        <w:rPr>
          <w:rFonts w:ascii="Calibri" w:eastAsia="Times New Roman" w:hAnsi="Calibri"/>
          <w:sz w:val="22"/>
          <w:szCs w:val="22"/>
        </w:rPr>
      </w:pPr>
      <w:r>
        <w:rPr>
          <w:rFonts w:ascii="Calibri" w:eastAsia="Times New Roman" w:hAnsi="Calibri"/>
          <w:b/>
          <w:bCs/>
          <w:sz w:val="22"/>
          <w:szCs w:val="22"/>
        </w:rPr>
        <w:t>Les ressources rares nécessaires au développement de l’internet des objets</w:t>
      </w:r>
    </w:p>
    <w:p w:rsidR="00C16D70" w:rsidRDefault="00C16D70" w:rsidP="00C16D70">
      <w:pPr>
        <w:rPr>
          <w:rFonts w:ascii="Calibri" w:eastAsia="Times New Roman" w:hAnsi="Calibri"/>
          <w:sz w:val="22"/>
          <w:szCs w:val="22"/>
        </w:rPr>
      </w:pPr>
      <w:r>
        <w:rPr>
          <w:rFonts w:ascii="Calibri" w:eastAsia="Times New Roman" w:hAnsi="Calibri"/>
          <w:sz w:val="22"/>
          <w:szCs w:val="22"/>
        </w:rPr>
        <w:t xml:space="preserve">Commentaire §3.2.2 : Pour les systèmes satellites, l’utilisation des fréquences soumises à autorisation individuelle est préférée pour sécuriser le fonctionnement des systèmes et éviter les brouillages des systèmes terrestres. L’utilisation de bandes libres terrestres pour une utilisation M2M satellite peut s’avérer difficile si cette dernière n’est pas réservée à </w:t>
      </w:r>
      <w:proofErr w:type="gramStart"/>
      <w:r>
        <w:rPr>
          <w:rFonts w:ascii="Calibri" w:eastAsia="Times New Roman" w:hAnsi="Calibri"/>
          <w:sz w:val="22"/>
          <w:szCs w:val="22"/>
        </w:rPr>
        <w:t>cette</w:t>
      </w:r>
      <w:proofErr w:type="gramEnd"/>
      <w:r>
        <w:rPr>
          <w:rFonts w:ascii="Calibri" w:eastAsia="Times New Roman" w:hAnsi="Calibri"/>
          <w:sz w:val="22"/>
          <w:szCs w:val="22"/>
        </w:rPr>
        <w:t xml:space="preserve"> usage. En effet,  si la bande n’est pas réservée à cet usage, tenant compte de la taille de l’empreinte au sol d’un satellite et du nombre d’objet total dans cette empreinte, le satellite ne pourra pas être en mesure de distinguer les émissions de différentes natures. Le choix de la bande de fréquence et de la quantité de spectre </w:t>
      </w:r>
      <w:proofErr w:type="gramStart"/>
      <w:r>
        <w:rPr>
          <w:rFonts w:ascii="Calibri" w:eastAsia="Times New Roman" w:hAnsi="Calibri"/>
          <w:sz w:val="22"/>
          <w:szCs w:val="22"/>
        </w:rPr>
        <w:t>ont</w:t>
      </w:r>
      <w:proofErr w:type="gramEnd"/>
      <w:r>
        <w:rPr>
          <w:rFonts w:ascii="Calibri" w:eastAsia="Times New Roman" w:hAnsi="Calibri"/>
          <w:sz w:val="22"/>
          <w:szCs w:val="22"/>
        </w:rPr>
        <w:t xml:space="preserve"> un impact très important sur le coût du système et sa faisabilité technique. Le choix de bandes basses est à privilégier pour faciliter la propagation et éviter le recours à des antennes directives trop couteuses. La quantité de spectre allouée aura un impact direct sur la capacité du système et le coût du service par objet.</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C16D70">
      <w:pPr>
        <w:numPr>
          <w:ilvl w:val="0"/>
          <w:numId w:val="17"/>
        </w:numPr>
        <w:spacing w:before="100" w:beforeAutospacing="1" w:after="100" w:afterAutospacing="1"/>
        <w:ind w:left="0"/>
        <w:rPr>
          <w:rFonts w:ascii="clear_sansbold" w:eastAsia="Times New Roman" w:hAnsi="clear_sansbold"/>
          <w:sz w:val="22"/>
          <w:szCs w:val="22"/>
        </w:rPr>
      </w:pPr>
      <w:r>
        <w:rPr>
          <w:rFonts w:ascii="clear_sansbold" w:eastAsia="Times New Roman" w:hAnsi="clear_sansbold"/>
          <w:b/>
          <w:bCs/>
          <w:sz w:val="22"/>
          <w:szCs w:val="22"/>
        </w:rPr>
        <w:t>L'ouverture au sein de l'internet des objets</w:t>
      </w:r>
    </w:p>
    <w:p w:rsidR="00C16D70" w:rsidRDefault="00C16D70" w:rsidP="00C16D70">
      <w:pPr>
        <w:rPr>
          <w:rFonts w:ascii="Calibri" w:eastAsia="Times New Roman" w:hAnsi="Calibri"/>
          <w:sz w:val="22"/>
          <w:szCs w:val="22"/>
        </w:rPr>
      </w:pPr>
      <w:r>
        <w:rPr>
          <w:rFonts w:ascii="clear_sansbold" w:eastAsia="Times New Roman" w:hAnsi="clear_sansbold"/>
          <w:sz w:val="22"/>
          <w:szCs w:val="22"/>
        </w:rPr>
        <w:t xml:space="preserve">Commentaire : Pour favoriser l’adoption des solutions satellites dans les terminaux de l’internet des objets et le développement d’infrastructure satellites correspondantes, il est nécessaire que l’interface radio satellite soit standardisée (ex à l’ETSI) et aidée par une réglementation facilitant/imposant le support de ces fonctionnalités pour les applications le </w:t>
      </w:r>
      <w:proofErr w:type="gramStart"/>
      <w:r>
        <w:rPr>
          <w:rFonts w:ascii="clear_sansbold" w:eastAsia="Times New Roman" w:hAnsi="clear_sansbold"/>
          <w:sz w:val="22"/>
          <w:szCs w:val="22"/>
        </w:rPr>
        <w:t>nécessitant(</w:t>
      </w:r>
      <w:proofErr w:type="gramEnd"/>
      <w:r>
        <w:rPr>
          <w:rFonts w:ascii="clear_sansbold" w:eastAsia="Times New Roman" w:hAnsi="clear_sansbold"/>
          <w:sz w:val="22"/>
          <w:szCs w:val="22"/>
        </w:rPr>
        <w:t xml:space="preserve"> ex résilience, extension de couverture). Un bon exemple de réglementation est le travail fait sur le 112 dans le domaine de la téléphonie mobile qui a progressivement permis la généralisation de ce dernier; </w:t>
      </w:r>
    </w:p>
    <w:p w:rsidR="00C16D70" w:rsidRDefault="00C16D70" w:rsidP="00C16D70">
      <w:pPr>
        <w:numPr>
          <w:ilvl w:val="0"/>
          <w:numId w:val="18"/>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La confiance au cœur de l’internet des objets</w:t>
      </w:r>
    </w:p>
    <w:p w:rsidR="00C16D70" w:rsidRDefault="00C16D70" w:rsidP="00C16D70">
      <w:pPr>
        <w:rPr>
          <w:rFonts w:ascii="Calibri" w:eastAsia="Times New Roman" w:hAnsi="Calibri"/>
          <w:sz w:val="22"/>
          <w:szCs w:val="22"/>
        </w:rPr>
      </w:pPr>
      <w:proofErr w:type="gramStart"/>
      <w:r>
        <w:rPr>
          <w:rFonts w:ascii="Calibri" w:eastAsia="Times New Roman" w:hAnsi="Calibri"/>
          <w:sz w:val="22"/>
          <w:szCs w:val="22"/>
        </w:rPr>
        <w:t>pas</w:t>
      </w:r>
      <w:proofErr w:type="gramEnd"/>
      <w:r>
        <w:rPr>
          <w:rFonts w:ascii="Calibri" w:eastAsia="Times New Roman" w:hAnsi="Calibri"/>
          <w:sz w:val="22"/>
          <w:szCs w:val="22"/>
        </w:rPr>
        <w:t xml:space="preserve"> de commentaires</w:t>
      </w:r>
    </w:p>
    <w:p w:rsidR="00C16D70" w:rsidRDefault="00C16D70" w:rsidP="00C16D70">
      <w:pPr>
        <w:numPr>
          <w:ilvl w:val="0"/>
          <w:numId w:val="19"/>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 xml:space="preserve">La période de transition pour les acteurs de l’internet des objets </w:t>
      </w:r>
    </w:p>
    <w:p w:rsidR="00C16D70" w:rsidRDefault="00C16D70" w:rsidP="00C16D70">
      <w:pPr>
        <w:rPr>
          <w:rFonts w:ascii="Calibri" w:eastAsia="Times New Roman" w:hAnsi="Calibri"/>
          <w:sz w:val="22"/>
          <w:szCs w:val="22"/>
        </w:rPr>
      </w:pPr>
      <w:proofErr w:type="gramStart"/>
      <w:r>
        <w:rPr>
          <w:rFonts w:ascii="Calibri" w:eastAsia="Times New Roman" w:hAnsi="Calibri"/>
          <w:sz w:val="22"/>
          <w:szCs w:val="22"/>
        </w:rPr>
        <w:t>pas</w:t>
      </w:r>
      <w:proofErr w:type="gramEnd"/>
      <w:r>
        <w:rPr>
          <w:rFonts w:ascii="Calibri" w:eastAsia="Times New Roman" w:hAnsi="Calibri"/>
          <w:sz w:val="22"/>
          <w:szCs w:val="22"/>
        </w:rPr>
        <w:t xml:space="preserve"> de commentaires</w:t>
      </w:r>
    </w:p>
    <w:p w:rsidR="00C16D70" w:rsidRDefault="00C16D70" w:rsidP="00C16D70">
      <w:pPr>
        <w:rPr>
          <w:rFonts w:ascii="Calibri" w:eastAsia="Times New Roman" w:hAnsi="Calibri"/>
          <w:sz w:val="22"/>
          <w:szCs w:val="22"/>
        </w:rPr>
      </w:pPr>
      <w:r>
        <w:rPr>
          <w:rFonts w:ascii="Calibri" w:eastAsia="Times New Roman" w:hAnsi="Calibri"/>
          <w:color w:val="1F497D"/>
          <w:sz w:val="22"/>
          <w:szCs w:val="22"/>
        </w:rPr>
        <w:t> </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C16D70">
      <w:pPr>
        <w:rPr>
          <w:rFonts w:ascii="Calibri" w:eastAsia="Times New Roman" w:hAnsi="Calibri"/>
          <w:sz w:val="22"/>
          <w:szCs w:val="22"/>
        </w:rPr>
      </w:pPr>
      <w:r>
        <w:rPr>
          <w:rFonts w:ascii="Calibri" w:eastAsia="Times New Roman" w:hAnsi="Calibri"/>
          <w:sz w:val="22"/>
          <w:szCs w:val="22"/>
        </w:rPr>
        <w:t> </w:t>
      </w:r>
    </w:p>
    <w:p w:rsidR="00C16D70" w:rsidRDefault="00C16D70" w:rsidP="00DA421A">
      <w:pPr>
        <w:rPr>
          <w:rFonts w:ascii="Calibri" w:eastAsia="Times New Roman" w:hAnsi="Calibri"/>
          <w:sz w:val="22"/>
          <w:szCs w:val="22"/>
        </w:rPr>
      </w:pPr>
    </w:p>
    <w:p w:rsidR="00DA421A" w:rsidRDefault="00DA421A" w:rsidP="00DA421A">
      <w:pPr>
        <w:rPr>
          <w:rFonts w:ascii="Calibri" w:eastAsia="Times New Roman" w:hAnsi="Calibri"/>
          <w:sz w:val="22"/>
          <w:szCs w:val="22"/>
        </w:rPr>
      </w:pPr>
      <w:r>
        <w:rPr>
          <w:rFonts w:ascii="Calibri" w:eastAsia="Times New Roman" w:hAnsi="Calibri"/>
          <w:sz w:val="22"/>
          <w:szCs w:val="22"/>
        </w:rPr>
        <w:t xml:space="preserve">Cher monsieur </w:t>
      </w:r>
      <w:proofErr w:type="spellStart"/>
      <w:r>
        <w:rPr>
          <w:rFonts w:ascii="Calibri" w:eastAsia="Times New Roman" w:hAnsi="Calibri"/>
          <w:sz w:val="22"/>
          <w:szCs w:val="22"/>
        </w:rPr>
        <w:t>Loutrel</w:t>
      </w:r>
      <w:proofErr w:type="spellEnd"/>
      <w:r>
        <w:rPr>
          <w:rFonts w:ascii="Calibri" w:eastAsia="Times New Roman" w:hAnsi="Calibri"/>
          <w:sz w:val="22"/>
          <w:szCs w:val="22"/>
        </w:rPr>
        <w:t>,</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Default="00DA421A" w:rsidP="00DA421A">
      <w:pPr>
        <w:rPr>
          <w:rFonts w:ascii="Calibri" w:eastAsia="Times New Roman" w:hAnsi="Calibri"/>
          <w:sz w:val="22"/>
          <w:szCs w:val="22"/>
        </w:rPr>
      </w:pPr>
      <w:r>
        <w:rPr>
          <w:rFonts w:ascii="Calibri" w:eastAsia="Times New Roman" w:hAnsi="Calibri"/>
          <w:sz w:val="22"/>
          <w:szCs w:val="22"/>
        </w:rPr>
        <w:t xml:space="preserve">Je vous prie de bien vouloir trouver ci-dessous les commentaires d’Airbus </w:t>
      </w:r>
      <w:proofErr w:type="spellStart"/>
      <w:r>
        <w:rPr>
          <w:rFonts w:ascii="Calibri" w:eastAsia="Times New Roman" w:hAnsi="Calibri"/>
          <w:sz w:val="22"/>
          <w:szCs w:val="22"/>
        </w:rPr>
        <w:t>Defence</w:t>
      </w:r>
      <w:proofErr w:type="spellEnd"/>
      <w:r>
        <w:rPr>
          <w:rFonts w:ascii="Calibri" w:eastAsia="Times New Roman" w:hAnsi="Calibri"/>
          <w:sz w:val="22"/>
          <w:szCs w:val="22"/>
        </w:rPr>
        <w:t xml:space="preserve"> and </w:t>
      </w:r>
      <w:proofErr w:type="spellStart"/>
      <w:r>
        <w:rPr>
          <w:rFonts w:ascii="Calibri" w:eastAsia="Times New Roman" w:hAnsi="Calibri"/>
          <w:sz w:val="22"/>
          <w:szCs w:val="22"/>
        </w:rPr>
        <w:t>Space</w:t>
      </w:r>
      <w:proofErr w:type="spellEnd"/>
      <w:r>
        <w:rPr>
          <w:rFonts w:ascii="Calibri" w:eastAsia="Times New Roman" w:hAnsi="Calibri"/>
          <w:sz w:val="22"/>
          <w:szCs w:val="22"/>
        </w:rPr>
        <w:t xml:space="preserve"> division </w:t>
      </w:r>
      <w:proofErr w:type="spellStart"/>
      <w:r>
        <w:rPr>
          <w:rFonts w:ascii="Calibri" w:eastAsia="Times New Roman" w:hAnsi="Calibri"/>
          <w:sz w:val="22"/>
          <w:szCs w:val="22"/>
        </w:rPr>
        <w:t>Space</w:t>
      </w:r>
      <w:proofErr w:type="spellEnd"/>
      <w:r>
        <w:rPr>
          <w:rFonts w:ascii="Calibri" w:eastAsia="Times New Roman" w:hAnsi="Calibri"/>
          <w:sz w:val="22"/>
          <w:szCs w:val="22"/>
        </w:rPr>
        <w:t xml:space="preserve"> System sur le document n°</w:t>
      </w:r>
      <w:r>
        <w:rPr>
          <w:rFonts w:ascii="Calibri" w:eastAsia="Times New Roman" w:hAnsi="Calibri"/>
          <w:color w:val="1F497D"/>
          <w:sz w:val="22"/>
          <w:szCs w:val="22"/>
        </w:rPr>
        <w:t>2</w:t>
      </w:r>
      <w:r>
        <w:rPr>
          <w:rFonts w:ascii="Calibri" w:eastAsia="Times New Roman" w:hAnsi="Calibri"/>
          <w:sz w:val="22"/>
          <w:szCs w:val="22"/>
        </w:rPr>
        <w:t xml:space="preserve"> du livre blanc sur l’internet des objets.</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Default="00DA421A" w:rsidP="00DA421A">
      <w:pPr>
        <w:rPr>
          <w:rFonts w:ascii="Calibri" w:eastAsia="Times New Roman" w:hAnsi="Calibri"/>
          <w:sz w:val="22"/>
          <w:szCs w:val="22"/>
        </w:rPr>
      </w:pPr>
      <w:r>
        <w:rPr>
          <w:rFonts w:ascii="Calibri" w:eastAsia="Times New Roman" w:hAnsi="Calibri"/>
          <w:sz w:val="22"/>
          <w:szCs w:val="22"/>
        </w:rPr>
        <w:t>Je reste à votre disposition pour plus de renseignements.</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Pr="00DA421A" w:rsidRDefault="00DA421A" w:rsidP="00DA421A">
      <w:pPr>
        <w:rPr>
          <w:rFonts w:ascii="Calibri" w:eastAsia="Times New Roman" w:hAnsi="Calibri"/>
          <w:sz w:val="22"/>
          <w:szCs w:val="22"/>
          <w:lang w:val="en-US"/>
        </w:rPr>
      </w:pPr>
      <w:r w:rsidRPr="00DA421A">
        <w:rPr>
          <w:rFonts w:ascii="Calibri" w:eastAsia="Times New Roman" w:hAnsi="Calibri"/>
          <w:sz w:val="22"/>
          <w:szCs w:val="22"/>
          <w:lang w:val="en-US"/>
        </w:rPr>
        <w:t>Cordialement</w:t>
      </w:r>
    </w:p>
    <w:p w:rsidR="00DA421A" w:rsidRPr="00DA421A" w:rsidRDefault="00DA421A" w:rsidP="00DA421A">
      <w:pPr>
        <w:rPr>
          <w:rFonts w:ascii="Calibri" w:eastAsia="Times New Roman" w:hAnsi="Calibri"/>
          <w:sz w:val="22"/>
          <w:szCs w:val="22"/>
          <w:lang w:val="en-US"/>
        </w:rPr>
      </w:pPr>
      <w:r w:rsidRPr="00DA421A">
        <w:rPr>
          <w:rFonts w:ascii="Calibri" w:eastAsia="Times New Roman" w:hAnsi="Calibri"/>
          <w:sz w:val="22"/>
          <w:szCs w:val="22"/>
          <w:lang w:val="en-US"/>
        </w:rPr>
        <w:t> </w:t>
      </w:r>
    </w:p>
    <w:p w:rsidR="00DA421A" w:rsidRPr="00DA421A" w:rsidRDefault="00DA421A" w:rsidP="00DA421A">
      <w:pPr>
        <w:rPr>
          <w:rFonts w:ascii="Calibri" w:eastAsia="Times New Roman" w:hAnsi="Calibri"/>
          <w:sz w:val="22"/>
          <w:szCs w:val="22"/>
          <w:lang w:val="en-US"/>
        </w:rPr>
      </w:pPr>
      <w:r w:rsidRPr="00DA421A">
        <w:rPr>
          <w:rFonts w:ascii="Calibri" w:eastAsia="Times New Roman" w:hAnsi="Calibri"/>
          <w:sz w:val="22"/>
          <w:szCs w:val="22"/>
          <w:lang w:val="en-US"/>
        </w:rPr>
        <w:t>Duc PHAM-MINH</w:t>
      </w:r>
    </w:p>
    <w:p w:rsidR="00DA421A" w:rsidRPr="00DA421A" w:rsidRDefault="00DA421A" w:rsidP="00DA421A">
      <w:pPr>
        <w:rPr>
          <w:rFonts w:ascii="Calibri" w:eastAsia="Times New Roman" w:hAnsi="Calibri"/>
          <w:sz w:val="22"/>
          <w:szCs w:val="22"/>
          <w:lang w:val="en-US"/>
        </w:rPr>
      </w:pPr>
      <w:r w:rsidRPr="00DA421A">
        <w:rPr>
          <w:rFonts w:ascii="Calibri" w:eastAsia="Times New Roman" w:hAnsi="Calibri"/>
          <w:sz w:val="22"/>
          <w:szCs w:val="22"/>
          <w:lang w:val="en-US"/>
        </w:rPr>
        <w:lastRenderedPageBreak/>
        <w:t>System and Standardisation Engineer</w:t>
      </w:r>
    </w:p>
    <w:p w:rsidR="00DA421A" w:rsidRPr="00DA421A" w:rsidRDefault="00DA421A" w:rsidP="00DA421A">
      <w:pPr>
        <w:rPr>
          <w:rFonts w:ascii="Calibri" w:eastAsia="Times New Roman" w:hAnsi="Calibri"/>
          <w:sz w:val="22"/>
          <w:szCs w:val="22"/>
          <w:lang w:val="en-US"/>
        </w:rPr>
      </w:pPr>
      <w:r w:rsidRPr="00DA421A">
        <w:rPr>
          <w:rFonts w:ascii="Calibri" w:eastAsia="Times New Roman" w:hAnsi="Calibri"/>
          <w:i/>
          <w:iCs/>
          <w:sz w:val="18"/>
          <w:szCs w:val="18"/>
          <w:lang w:val="en-US"/>
        </w:rPr>
        <w:t>Airbus Defence and Space</w:t>
      </w:r>
    </w:p>
    <w:p w:rsidR="00DA421A" w:rsidRPr="00DA421A" w:rsidRDefault="00DA421A" w:rsidP="00DA421A">
      <w:pPr>
        <w:rPr>
          <w:rFonts w:ascii="Calibri" w:eastAsia="Times New Roman" w:hAnsi="Calibri"/>
          <w:sz w:val="22"/>
          <w:szCs w:val="22"/>
          <w:lang w:val="en-US"/>
        </w:rPr>
      </w:pPr>
      <w:r w:rsidRPr="00DA421A">
        <w:rPr>
          <w:rFonts w:ascii="Calibri" w:eastAsia="Times New Roman" w:hAnsi="Calibri"/>
          <w:i/>
          <w:iCs/>
          <w:sz w:val="18"/>
          <w:szCs w:val="18"/>
          <w:lang w:val="en-US"/>
        </w:rPr>
        <w:t>Space System</w:t>
      </w:r>
    </w:p>
    <w:p w:rsidR="00DA421A" w:rsidRDefault="00DA421A" w:rsidP="00DA421A">
      <w:pPr>
        <w:rPr>
          <w:rFonts w:ascii="Calibri" w:eastAsia="Times New Roman" w:hAnsi="Calibri"/>
          <w:sz w:val="22"/>
          <w:szCs w:val="22"/>
        </w:rPr>
      </w:pPr>
      <w:r>
        <w:rPr>
          <w:rFonts w:ascii="Calibri" w:eastAsia="Times New Roman" w:hAnsi="Calibri"/>
          <w:i/>
          <w:iCs/>
          <w:sz w:val="18"/>
          <w:szCs w:val="18"/>
        </w:rPr>
        <w:t>31 rue des Cosmonautes</w:t>
      </w:r>
    </w:p>
    <w:p w:rsidR="00DA421A" w:rsidRDefault="00DA421A" w:rsidP="00DA421A">
      <w:pPr>
        <w:rPr>
          <w:rFonts w:ascii="Calibri" w:eastAsia="Times New Roman" w:hAnsi="Calibri"/>
          <w:sz w:val="22"/>
          <w:szCs w:val="22"/>
        </w:rPr>
      </w:pPr>
      <w:r>
        <w:rPr>
          <w:rFonts w:ascii="Calibri" w:eastAsia="Times New Roman" w:hAnsi="Calibri"/>
          <w:i/>
          <w:iCs/>
          <w:sz w:val="18"/>
          <w:szCs w:val="18"/>
        </w:rPr>
        <w:t xml:space="preserve">ZI du </w:t>
      </w:r>
      <w:proofErr w:type="spellStart"/>
      <w:r>
        <w:rPr>
          <w:rFonts w:ascii="Calibri" w:eastAsia="Times New Roman" w:hAnsi="Calibri"/>
          <w:i/>
          <w:iCs/>
          <w:sz w:val="18"/>
          <w:szCs w:val="18"/>
        </w:rPr>
        <w:t>Palays</w:t>
      </w:r>
      <w:proofErr w:type="spellEnd"/>
    </w:p>
    <w:p w:rsidR="00DA421A" w:rsidRDefault="00DA421A" w:rsidP="00DA421A">
      <w:pPr>
        <w:rPr>
          <w:rFonts w:ascii="Calibri" w:eastAsia="Times New Roman" w:hAnsi="Calibri"/>
          <w:sz w:val="22"/>
          <w:szCs w:val="22"/>
        </w:rPr>
      </w:pPr>
      <w:r>
        <w:rPr>
          <w:rFonts w:ascii="Calibri" w:eastAsia="Times New Roman" w:hAnsi="Calibri"/>
          <w:i/>
          <w:iCs/>
          <w:sz w:val="18"/>
          <w:szCs w:val="18"/>
        </w:rPr>
        <w:t>31 402 Toulouse Cedex 4</w:t>
      </w:r>
    </w:p>
    <w:p w:rsidR="00DA421A" w:rsidRDefault="00DA421A" w:rsidP="00DA421A">
      <w:pPr>
        <w:rPr>
          <w:rFonts w:ascii="Calibri" w:eastAsia="Times New Roman" w:hAnsi="Calibri"/>
          <w:sz w:val="22"/>
          <w:szCs w:val="22"/>
        </w:rPr>
      </w:pPr>
      <w:r>
        <w:rPr>
          <w:rFonts w:ascii="Calibri" w:eastAsia="Times New Roman" w:hAnsi="Calibri"/>
          <w:i/>
          <w:iCs/>
          <w:sz w:val="18"/>
          <w:szCs w:val="18"/>
        </w:rPr>
        <w:t>Tel : 05 6219 8535</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Default="00DA421A" w:rsidP="00DA421A">
      <w:pPr>
        <w:rPr>
          <w:rFonts w:ascii="Calibri" w:eastAsia="Times New Roman" w:hAnsi="Calibri"/>
          <w:sz w:val="22"/>
          <w:szCs w:val="22"/>
        </w:rPr>
      </w:pPr>
      <w:bookmarkStart w:id="0" w:name="_GoBack"/>
      <w:r>
        <w:rPr>
          <w:rFonts w:ascii="Calibri" w:eastAsia="Times New Roman" w:hAnsi="Calibri"/>
          <w:color w:val="1F497D"/>
          <w:sz w:val="22"/>
          <w:szCs w:val="22"/>
        </w:rPr>
        <w:t> </w:t>
      </w:r>
    </w:p>
    <w:bookmarkEnd w:id="0"/>
    <w:p w:rsidR="00DA421A" w:rsidRDefault="00DA421A" w:rsidP="00DA421A">
      <w:pPr>
        <w:rPr>
          <w:rFonts w:ascii="Calibri" w:eastAsia="Times New Roman" w:hAnsi="Calibri"/>
          <w:sz w:val="22"/>
          <w:szCs w:val="22"/>
        </w:rPr>
      </w:pPr>
      <w:r>
        <w:rPr>
          <w:rFonts w:ascii="Calibri" w:eastAsia="Times New Roman" w:hAnsi="Calibri"/>
          <w:sz w:val="22"/>
          <w:szCs w:val="22"/>
        </w:rPr>
        <w:t>%%%%%%%%%%%%%%%%%%%%%%%%%%%%%%%%%%%</w:t>
      </w:r>
    </w:p>
    <w:p w:rsidR="00DA421A" w:rsidRDefault="00DA421A" w:rsidP="00DA421A">
      <w:pPr>
        <w:rPr>
          <w:rFonts w:ascii="Calibri" w:eastAsia="Times New Roman" w:hAnsi="Calibri"/>
          <w:sz w:val="22"/>
          <w:szCs w:val="22"/>
        </w:rPr>
      </w:pPr>
      <w:r>
        <w:rPr>
          <w:rFonts w:ascii="Calibri" w:eastAsia="Times New Roman" w:hAnsi="Calibri"/>
          <w:sz w:val="22"/>
          <w:szCs w:val="22"/>
        </w:rPr>
        <w:t xml:space="preserve">PROJET DE LIVRE BLANC - PRÉPARER LA RÉVOLUTION DE L’INTERNET DES OBJETS </w:t>
      </w:r>
    </w:p>
    <w:p w:rsidR="00DA421A" w:rsidRDefault="00DA421A" w:rsidP="00DA421A">
      <w:pPr>
        <w:rPr>
          <w:rFonts w:ascii="Calibri" w:eastAsia="Times New Roman" w:hAnsi="Calibri"/>
          <w:sz w:val="22"/>
          <w:szCs w:val="22"/>
        </w:rPr>
      </w:pPr>
      <w:r>
        <w:rPr>
          <w:rFonts w:ascii="Calibri" w:eastAsia="Times New Roman" w:hAnsi="Calibri"/>
          <w:b/>
          <w:bCs/>
          <w:sz w:val="22"/>
          <w:szCs w:val="22"/>
        </w:rPr>
        <w:t>Document n°2 : Orientations pour l’</w:t>
      </w:r>
      <w:proofErr w:type="spellStart"/>
      <w:r>
        <w:rPr>
          <w:rFonts w:ascii="Calibri" w:eastAsia="Times New Roman" w:hAnsi="Calibri"/>
          <w:b/>
          <w:bCs/>
          <w:sz w:val="22"/>
          <w:szCs w:val="22"/>
        </w:rPr>
        <w:t>Arcep</w:t>
      </w:r>
      <w:proofErr w:type="spellEnd"/>
    </w:p>
    <w:p w:rsidR="00DA421A" w:rsidRDefault="00DA421A" w:rsidP="00DA421A">
      <w:pPr>
        <w:numPr>
          <w:ilvl w:val="0"/>
          <w:numId w:val="1"/>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Pensez-vous que la mise en place d'un cadre expérimental relatif à des services de communications électroniques soit de nature à favoriser l'innovation ? Avez-vous des propositions sur la manière de la mettre en œuvre, en particulier en matière d'internet des objets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numPr>
          <w:ilvl w:val="0"/>
          <w:numId w:val="2"/>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Considérez-vous que l'</w:t>
      </w:r>
      <w:proofErr w:type="spellStart"/>
      <w:r>
        <w:rPr>
          <w:rFonts w:ascii="Calibri" w:eastAsia="Times New Roman" w:hAnsi="Calibri"/>
          <w:sz w:val="22"/>
          <w:szCs w:val="22"/>
        </w:rPr>
        <w:t>Arcep</w:t>
      </w:r>
      <w:proofErr w:type="spellEnd"/>
      <w:r>
        <w:rPr>
          <w:rFonts w:ascii="Calibri" w:eastAsia="Times New Roman" w:hAnsi="Calibri"/>
          <w:sz w:val="22"/>
          <w:szCs w:val="22"/>
        </w:rPr>
        <w:t xml:space="preserve"> </w:t>
      </w:r>
      <w:proofErr w:type="gramStart"/>
      <w:r>
        <w:rPr>
          <w:rFonts w:ascii="Calibri" w:eastAsia="Times New Roman" w:hAnsi="Calibri"/>
          <w:sz w:val="22"/>
          <w:szCs w:val="22"/>
        </w:rPr>
        <w:t>devrait</w:t>
      </w:r>
      <w:proofErr w:type="gramEnd"/>
      <w:r>
        <w:rPr>
          <w:rFonts w:ascii="Calibri" w:eastAsia="Times New Roman" w:hAnsi="Calibri"/>
          <w:sz w:val="22"/>
          <w:szCs w:val="22"/>
        </w:rPr>
        <w:t xml:space="preserve"> avoir une implication plus importante dans les instances de normalisation internationale ? De quelle manière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numPr>
          <w:ilvl w:val="0"/>
          <w:numId w:val="3"/>
        </w:numPr>
        <w:spacing w:before="100" w:beforeAutospacing="1" w:after="100" w:afterAutospacing="1"/>
        <w:ind w:left="0"/>
        <w:rPr>
          <w:rFonts w:ascii="Calibri" w:eastAsia="Times New Roman" w:hAnsi="Calibri"/>
          <w:sz w:val="22"/>
          <w:szCs w:val="22"/>
        </w:rPr>
      </w:pPr>
      <w:r>
        <w:rPr>
          <w:rFonts w:ascii="Calibri" w:eastAsia="Times New Roman" w:hAnsi="Calibri"/>
          <w:b/>
          <w:bCs/>
          <w:sz w:val="22"/>
          <w:szCs w:val="22"/>
        </w:rPr>
        <w:t>Sous quelles conditions la réutilisation ou le partage d’infrastructures, passives ou actives permet-elle, selon vous, de favoriser le déploiement de réseaux adaptés aux besoins de l’internet des objets ?</w:t>
      </w:r>
    </w:p>
    <w:p w:rsidR="00DA421A" w:rsidRDefault="00DA421A" w:rsidP="00DA421A">
      <w:pPr>
        <w:rPr>
          <w:rFonts w:ascii="Calibri" w:eastAsia="Times New Roman" w:hAnsi="Calibri"/>
          <w:sz w:val="22"/>
          <w:szCs w:val="22"/>
        </w:rPr>
      </w:pPr>
      <w:r>
        <w:rPr>
          <w:rFonts w:ascii="Calibri" w:eastAsia="Times New Roman" w:hAnsi="Calibri"/>
          <w:sz w:val="22"/>
          <w:szCs w:val="22"/>
        </w:rPr>
        <w:t xml:space="preserve">Le partage d’infrastructures satellites permettrait aux opérateurs terrestres de bénéficier d’une couverture étendue et de résilience à moindre coût. Une solution basée sur un </w:t>
      </w:r>
      <w:proofErr w:type="spellStart"/>
      <w:r>
        <w:rPr>
          <w:rFonts w:ascii="Calibri" w:eastAsia="Times New Roman" w:hAnsi="Calibri"/>
          <w:sz w:val="22"/>
          <w:szCs w:val="22"/>
        </w:rPr>
        <w:t>roaming</w:t>
      </w:r>
      <w:proofErr w:type="spellEnd"/>
      <w:r>
        <w:rPr>
          <w:rFonts w:ascii="Calibri" w:eastAsia="Times New Roman" w:hAnsi="Calibri"/>
          <w:sz w:val="22"/>
          <w:szCs w:val="22"/>
        </w:rPr>
        <w:t xml:space="preserve"> cellulaire-satellite pourrait être envisagée.</w:t>
      </w:r>
    </w:p>
    <w:p w:rsidR="00DA421A" w:rsidRDefault="00DA421A" w:rsidP="00DA421A">
      <w:pPr>
        <w:numPr>
          <w:ilvl w:val="0"/>
          <w:numId w:val="4"/>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Avez-vous d’autres observations au regard des orientations énoncées ci-dessus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numPr>
          <w:ilvl w:val="0"/>
          <w:numId w:val="5"/>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 xml:space="preserve">La mise en place d’un portail des fréquences libres vous semble-t-elle pertinente ? Que pensez-vous de la faisabilité de mise en </w:t>
      </w:r>
      <w:proofErr w:type="spellStart"/>
      <w:r>
        <w:rPr>
          <w:rFonts w:ascii="Calibri" w:eastAsia="Times New Roman" w:hAnsi="Calibri"/>
          <w:sz w:val="22"/>
          <w:szCs w:val="22"/>
        </w:rPr>
        <w:t>oeuvre</w:t>
      </w:r>
      <w:proofErr w:type="spellEnd"/>
      <w:r>
        <w:rPr>
          <w:rFonts w:ascii="Calibri" w:eastAsia="Times New Roman" w:hAnsi="Calibri"/>
          <w:sz w:val="22"/>
          <w:szCs w:val="22"/>
        </w:rPr>
        <w:t xml:space="preserve"> d’un dispositif d’évaluation des usages en bandes libres ? Comment surmonter le fait que, par construction, l’</w:t>
      </w:r>
      <w:proofErr w:type="spellStart"/>
      <w:r>
        <w:rPr>
          <w:rFonts w:ascii="Calibri" w:eastAsia="Times New Roman" w:hAnsi="Calibri"/>
          <w:sz w:val="22"/>
          <w:szCs w:val="22"/>
        </w:rPr>
        <w:t>Arcep</w:t>
      </w:r>
      <w:proofErr w:type="spellEnd"/>
      <w:r>
        <w:rPr>
          <w:rFonts w:ascii="Calibri" w:eastAsia="Times New Roman" w:hAnsi="Calibri"/>
          <w:sz w:val="22"/>
          <w:szCs w:val="22"/>
        </w:rPr>
        <w:t xml:space="preserve"> ne connaît pas ex ante les utilisateurs de fréquences libres (au contraire des fréquences attribuées par autorisations) ? Avez-vous des commentaires supplémentaires relatifs aux bandes libres, notamment leur identification ou règles d’utilisation ?</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Default="00DA421A" w:rsidP="00DA421A">
      <w:pPr>
        <w:rPr>
          <w:rFonts w:ascii="Calibri" w:eastAsia="Times New Roman" w:hAnsi="Calibri"/>
          <w:sz w:val="22"/>
          <w:szCs w:val="22"/>
        </w:rPr>
      </w:pPr>
      <w:proofErr w:type="gramStart"/>
      <w:r>
        <w:rPr>
          <w:rFonts w:ascii="Calibri" w:eastAsia="Times New Roman" w:hAnsi="Calibri"/>
          <w:sz w:val="22"/>
          <w:szCs w:val="22"/>
        </w:rPr>
        <w:t>Commentaire  :</w:t>
      </w:r>
      <w:proofErr w:type="gramEnd"/>
      <w:r>
        <w:rPr>
          <w:rFonts w:ascii="Calibri" w:eastAsia="Times New Roman" w:hAnsi="Calibri"/>
          <w:sz w:val="22"/>
          <w:szCs w:val="22"/>
        </w:rPr>
        <w:t xml:space="preserve"> Pour les systèmes satellites, l’utilisation des fréquences soumises à autorisation individuelle est préférée pour sécuriser le fonctionnement des systèmes et éviter les brouillages des systèmes terrestres. L’utilisation de bandes libres terrestres pour une utilisation M2M satellite peut s’avérer difficile si cette dernière n’est pas réservée à </w:t>
      </w:r>
      <w:proofErr w:type="gramStart"/>
      <w:r>
        <w:rPr>
          <w:rFonts w:ascii="Calibri" w:eastAsia="Times New Roman" w:hAnsi="Calibri"/>
          <w:sz w:val="22"/>
          <w:szCs w:val="22"/>
        </w:rPr>
        <w:t>cette</w:t>
      </w:r>
      <w:proofErr w:type="gramEnd"/>
      <w:r>
        <w:rPr>
          <w:rFonts w:ascii="Calibri" w:eastAsia="Times New Roman" w:hAnsi="Calibri"/>
          <w:sz w:val="22"/>
          <w:szCs w:val="22"/>
        </w:rPr>
        <w:t xml:space="preserve"> usage. En effet,  si la bande n’est pas réservée à cet usage, tenant compte de la taille de l’empreinte au sol d’un satellite et du nombre d’objet total dans cette empreinte, le satellite ne pourra pas être en mesure de distinguer les émissions de différentes natures. Le choix de la bande de fréquence et de la quantité de spectre </w:t>
      </w:r>
      <w:proofErr w:type="gramStart"/>
      <w:r>
        <w:rPr>
          <w:rFonts w:ascii="Calibri" w:eastAsia="Times New Roman" w:hAnsi="Calibri"/>
          <w:sz w:val="22"/>
          <w:szCs w:val="22"/>
        </w:rPr>
        <w:t>ont</w:t>
      </w:r>
      <w:proofErr w:type="gramEnd"/>
      <w:r>
        <w:rPr>
          <w:rFonts w:ascii="Calibri" w:eastAsia="Times New Roman" w:hAnsi="Calibri"/>
          <w:sz w:val="22"/>
          <w:szCs w:val="22"/>
        </w:rPr>
        <w:t xml:space="preserve"> un impact très important sur le coût du système et sa faisabilité technique. Le choix de bandes </w:t>
      </w:r>
      <w:r>
        <w:rPr>
          <w:rFonts w:ascii="Calibri" w:eastAsia="Times New Roman" w:hAnsi="Calibri"/>
          <w:sz w:val="22"/>
          <w:szCs w:val="22"/>
        </w:rPr>
        <w:lastRenderedPageBreak/>
        <w:t>basses est à privilégier pour faciliter la propagation et éviter le recours à des antennes directives trop couteuses. La quantité de spectre allouée aura un impact direct sur la capacité du système et le coût du service par objet.</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DA421A" w:rsidRDefault="00DA421A" w:rsidP="00DA421A">
      <w:pPr>
        <w:numPr>
          <w:ilvl w:val="0"/>
          <w:numId w:val="6"/>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Quelle est votre vision de la pénurie des identifiants, notamment IP, dans le cadre de l’internet des objets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numPr>
          <w:ilvl w:val="0"/>
          <w:numId w:val="7"/>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Avez-vous d’autres observations au regard des orientations énoncées ci-dessus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numPr>
          <w:ilvl w:val="0"/>
          <w:numId w:val="8"/>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Avez-vous des commentaires relatifs aux démarches européennes engagées au sujet de l’internet des objets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numPr>
          <w:ilvl w:val="0"/>
          <w:numId w:val="9"/>
        </w:numPr>
        <w:spacing w:before="100" w:beforeAutospacing="1" w:after="100" w:afterAutospacing="1"/>
        <w:ind w:left="0"/>
        <w:rPr>
          <w:rFonts w:ascii="Calibri" w:eastAsia="Times New Roman" w:hAnsi="Calibri"/>
          <w:sz w:val="22"/>
          <w:szCs w:val="22"/>
        </w:rPr>
      </w:pPr>
      <w:r>
        <w:rPr>
          <w:rFonts w:ascii="Calibri" w:eastAsia="Times New Roman" w:hAnsi="Calibri"/>
          <w:b/>
          <w:bCs/>
          <w:sz w:val="22"/>
          <w:szCs w:val="22"/>
        </w:rPr>
        <w:t>La généralisation des solutions de mise à jour à distance des cartes SIM vous semble-t-elle pertinente pour favoriser l’ouverture de l’internet des objets ? Quelle devrait être selon vous l’action de l’</w:t>
      </w:r>
      <w:proofErr w:type="spellStart"/>
      <w:r>
        <w:rPr>
          <w:rFonts w:ascii="Calibri" w:eastAsia="Times New Roman" w:hAnsi="Calibri"/>
          <w:b/>
          <w:bCs/>
          <w:sz w:val="22"/>
          <w:szCs w:val="22"/>
        </w:rPr>
        <w:t>Arcep</w:t>
      </w:r>
      <w:proofErr w:type="spellEnd"/>
      <w:r>
        <w:rPr>
          <w:rFonts w:ascii="Calibri" w:eastAsia="Times New Roman" w:hAnsi="Calibri"/>
          <w:b/>
          <w:bCs/>
          <w:sz w:val="22"/>
          <w:szCs w:val="22"/>
        </w:rPr>
        <w:t xml:space="preserve"> à cet égard ?</w:t>
      </w:r>
    </w:p>
    <w:p w:rsidR="00DA421A" w:rsidRDefault="00DA421A" w:rsidP="00DA421A">
      <w:pPr>
        <w:rPr>
          <w:rFonts w:ascii="Calibri" w:eastAsia="Times New Roman" w:hAnsi="Calibri"/>
          <w:sz w:val="22"/>
          <w:szCs w:val="22"/>
        </w:rPr>
      </w:pPr>
      <w:r>
        <w:rPr>
          <w:rFonts w:ascii="Calibri" w:eastAsia="Times New Roman" w:hAnsi="Calibri"/>
          <w:sz w:val="22"/>
          <w:szCs w:val="22"/>
        </w:rPr>
        <w:t>La virtualisation de la carte SIM permettrait de développer des terminaux moins chers tout en leur permettant de se connecter à des réseaux WAN/satellite. Il est néanmoins primordial de conserver le niveau de sécurité offert par les cartes SIM actuelles pour toutes les applications critiques.</w:t>
      </w:r>
    </w:p>
    <w:p w:rsidR="00DA421A" w:rsidRDefault="00DA421A" w:rsidP="00DA421A">
      <w:pPr>
        <w:numPr>
          <w:ilvl w:val="0"/>
          <w:numId w:val="10"/>
        </w:numPr>
        <w:spacing w:before="100" w:beforeAutospacing="1" w:after="100" w:afterAutospacing="1"/>
        <w:ind w:left="0"/>
        <w:rPr>
          <w:rFonts w:ascii="Calibri" w:eastAsia="Times New Roman" w:hAnsi="Calibri"/>
          <w:sz w:val="22"/>
          <w:szCs w:val="22"/>
        </w:rPr>
      </w:pPr>
      <w:r>
        <w:rPr>
          <w:rFonts w:ascii="Calibri" w:eastAsia="Times New Roman" w:hAnsi="Calibri"/>
          <w:b/>
          <w:bCs/>
          <w:sz w:val="22"/>
          <w:szCs w:val="22"/>
        </w:rPr>
        <w:t>Enfin, la définition par les pouvoirs publics d’un référentiel commun de comparaison des offres de connectivité vous semble-t-elle appropriée ? En particulier, une implication de l’</w:t>
      </w:r>
      <w:proofErr w:type="spellStart"/>
      <w:r>
        <w:rPr>
          <w:rFonts w:ascii="Calibri" w:eastAsia="Times New Roman" w:hAnsi="Calibri"/>
          <w:b/>
          <w:bCs/>
          <w:sz w:val="22"/>
          <w:szCs w:val="22"/>
        </w:rPr>
        <w:t>Arcep</w:t>
      </w:r>
      <w:proofErr w:type="spellEnd"/>
      <w:r>
        <w:rPr>
          <w:rFonts w:ascii="Calibri" w:eastAsia="Times New Roman" w:hAnsi="Calibri"/>
          <w:b/>
          <w:bCs/>
          <w:sz w:val="22"/>
          <w:szCs w:val="22"/>
        </w:rPr>
        <w:t xml:space="preserve"> au sujet des cartes de couverture des réseaux supports de l’internet </w:t>
      </w:r>
      <w:proofErr w:type="gramStart"/>
      <w:r>
        <w:rPr>
          <w:rFonts w:ascii="Calibri" w:eastAsia="Times New Roman" w:hAnsi="Calibri"/>
          <w:b/>
          <w:bCs/>
          <w:sz w:val="22"/>
          <w:szCs w:val="22"/>
        </w:rPr>
        <w:t>des objet</w:t>
      </w:r>
      <w:proofErr w:type="gramEnd"/>
      <w:r>
        <w:rPr>
          <w:rFonts w:ascii="Calibri" w:eastAsia="Times New Roman" w:hAnsi="Calibri"/>
          <w:b/>
          <w:bCs/>
          <w:sz w:val="22"/>
          <w:szCs w:val="22"/>
        </w:rPr>
        <w:t xml:space="preserve"> vous semble-t-elle souhaitable ?</w:t>
      </w:r>
    </w:p>
    <w:p w:rsidR="00DA421A" w:rsidRDefault="00DA421A" w:rsidP="00DA421A">
      <w:pPr>
        <w:rPr>
          <w:rFonts w:ascii="Calibri" w:eastAsia="Times New Roman" w:hAnsi="Calibri"/>
          <w:sz w:val="22"/>
          <w:szCs w:val="22"/>
        </w:rPr>
      </w:pPr>
      <w:r>
        <w:rPr>
          <w:rFonts w:ascii="Calibri" w:eastAsia="Times New Roman" w:hAnsi="Calibri"/>
          <w:sz w:val="22"/>
          <w:szCs w:val="22"/>
        </w:rPr>
        <w:t>Oui une telle implication permet de suivre précisément l’évolution du marché et minimise les risques d’investissements pour les entreprises</w:t>
      </w:r>
    </w:p>
    <w:p w:rsidR="00DA421A" w:rsidRDefault="00DA421A" w:rsidP="00DA421A">
      <w:pPr>
        <w:numPr>
          <w:ilvl w:val="0"/>
          <w:numId w:val="11"/>
        </w:numPr>
        <w:spacing w:before="100" w:beforeAutospacing="1" w:after="100" w:afterAutospacing="1"/>
        <w:ind w:left="0"/>
        <w:rPr>
          <w:rFonts w:ascii="Calibri" w:eastAsia="Times New Roman" w:hAnsi="Calibri"/>
          <w:sz w:val="22"/>
          <w:szCs w:val="22"/>
        </w:rPr>
      </w:pPr>
      <w:r>
        <w:rPr>
          <w:rFonts w:ascii="Calibri" w:eastAsia="Times New Roman" w:hAnsi="Calibri"/>
          <w:sz w:val="22"/>
          <w:szCs w:val="22"/>
        </w:rPr>
        <w:t>Avez-vous d’autres observations au regard des orientations énoncées ci-dessus ?</w:t>
      </w:r>
    </w:p>
    <w:p w:rsidR="00DA421A" w:rsidRDefault="00DA421A" w:rsidP="00DA421A">
      <w:pPr>
        <w:rPr>
          <w:rFonts w:ascii="Calibri" w:eastAsia="Times New Roman" w:hAnsi="Calibri"/>
          <w:sz w:val="22"/>
          <w:szCs w:val="22"/>
        </w:rPr>
      </w:pPr>
      <w:r>
        <w:rPr>
          <w:rFonts w:ascii="Calibri" w:eastAsia="Times New Roman" w:hAnsi="Calibri"/>
          <w:sz w:val="22"/>
          <w:szCs w:val="22"/>
        </w:rPr>
        <w:t>Pas de commentaires</w:t>
      </w:r>
    </w:p>
    <w:p w:rsidR="00DA421A" w:rsidRDefault="00DA421A" w:rsidP="00DA421A">
      <w:pPr>
        <w:rPr>
          <w:rFonts w:ascii="Calibri" w:eastAsia="Times New Roman" w:hAnsi="Calibri"/>
          <w:sz w:val="22"/>
          <w:szCs w:val="22"/>
        </w:rPr>
      </w:pPr>
      <w:r>
        <w:rPr>
          <w:rFonts w:ascii="Calibri" w:eastAsia="Times New Roman" w:hAnsi="Calibri"/>
          <w:sz w:val="22"/>
          <w:szCs w:val="22"/>
        </w:rPr>
        <w:t> </w:t>
      </w:r>
    </w:p>
    <w:p w:rsidR="00A9500D" w:rsidRDefault="00DA421A" w:rsidP="00DA421A">
      <w:pPr>
        <w:rPr>
          <w:rFonts w:ascii="Calibri" w:eastAsia="Times New Roman" w:hAnsi="Calibri"/>
          <w:sz w:val="22"/>
          <w:szCs w:val="22"/>
        </w:rPr>
      </w:pPr>
      <w:r>
        <w:rPr>
          <w:rFonts w:ascii="Calibri" w:eastAsia="Times New Roman" w:hAnsi="Calibri"/>
          <w:sz w:val="22"/>
          <w:szCs w:val="22"/>
        </w:rPr>
        <w:t> </w:t>
      </w:r>
    </w:p>
    <w:p w:rsidR="00C16D70" w:rsidRDefault="00C16D70" w:rsidP="00DA421A"/>
    <w:sectPr w:rsidR="00C16D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lear_sansregular">
    <w:altName w:val="Times New Roman"/>
    <w:panose1 w:val="00000000000000000000"/>
    <w:charset w:val="00"/>
    <w:family w:val="roman"/>
    <w:notTrueType/>
    <w:pitch w:val="default"/>
  </w:font>
  <w:font w:name="clear_sans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E547B"/>
    <w:multiLevelType w:val="multilevel"/>
    <w:tmpl w:val="57E08BE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0E25452"/>
    <w:multiLevelType w:val="multilevel"/>
    <w:tmpl w:val="201403AC"/>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9657323"/>
    <w:multiLevelType w:val="multilevel"/>
    <w:tmpl w:val="9B14F13C"/>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3AE7ACC"/>
    <w:multiLevelType w:val="multilevel"/>
    <w:tmpl w:val="9258E2D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9850280"/>
    <w:multiLevelType w:val="multilevel"/>
    <w:tmpl w:val="165C065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9B05B4F"/>
    <w:multiLevelType w:val="multilevel"/>
    <w:tmpl w:val="73D29B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DBF7ADD"/>
    <w:multiLevelType w:val="multilevel"/>
    <w:tmpl w:val="7A28D98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FFC5C7C"/>
    <w:multiLevelType w:val="multilevel"/>
    <w:tmpl w:val="A74A68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13147E6"/>
    <w:multiLevelType w:val="multilevel"/>
    <w:tmpl w:val="F3B2BA7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9C3E94"/>
    <w:multiLevelType w:val="multilevel"/>
    <w:tmpl w:val="D14865E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F3E37E8"/>
    <w:multiLevelType w:val="multilevel"/>
    <w:tmpl w:val="0DE801C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5027E7E"/>
    <w:multiLevelType w:val="multilevel"/>
    <w:tmpl w:val="D4C2C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6F41FFB"/>
    <w:multiLevelType w:val="multilevel"/>
    <w:tmpl w:val="2BB6440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2910D83"/>
    <w:multiLevelType w:val="multilevel"/>
    <w:tmpl w:val="1CCC0A0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84A3CF4"/>
    <w:multiLevelType w:val="multilevel"/>
    <w:tmpl w:val="5A2CB48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C763D4C"/>
    <w:multiLevelType w:val="multilevel"/>
    <w:tmpl w:val="7494EE9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5D3687B"/>
    <w:multiLevelType w:val="multilevel"/>
    <w:tmpl w:val="0F6CE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766134FF"/>
    <w:multiLevelType w:val="multilevel"/>
    <w:tmpl w:val="D7A45D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F5B130A"/>
    <w:multiLevelType w:val="multilevel"/>
    <w:tmpl w:val="1DB4F99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lvlOverride w:ilvl="2"/>
    <w:lvlOverride w:ilvl="3"/>
    <w:lvlOverride w:ilvl="4"/>
    <w:lvlOverride w:ilvl="5"/>
    <w:lvlOverride w:ilvl="6"/>
    <w:lvlOverride w:ilvl="7"/>
    <w:lvlOverride w:ilvl="8"/>
  </w:num>
  <w:num w:numId="15">
    <w:abstractNumId w:val="16"/>
    <w:lvlOverride w:ilvl="0"/>
    <w:lvlOverride w:ilvl="1"/>
    <w:lvlOverride w:ilvl="2"/>
    <w:lvlOverride w:ilvl="3"/>
    <w:lvlOverride w:ilvl="4"/>
    <w:lvlOverride w:ilvl="5"/>
    <w:lvlOverride w:ilvl="6"/>
    <w:lvlOverride w:ilvl="7"/>
    <w:lvlOverride w:ilvl="8"/>
  </w:num>
  <w:num w:numId="1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1A"/>
    <w:rsid w:val="00A9500D"/>
    <w:rsid w:val="00C16D70"/>
    <w:rsid w:val="00DA42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21A"/>
    <w:pPr>
      <w:spacing w:after="0" w:line="240" w:lineRule="auto"/>
    </w:pPr>
    <w:rPr>
      <w:rFonts w:ascii="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21A"/>
    <w:pPr>
      <w:spacing w:after="0" w:line="240" w:lineRule="auto"/>
    </w:pPr>
    <w:rPr>
      <w:rFonts w:ascii="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280175">
      <w:bodyDiv w:val="1"/>
      <w:marLeft w:val="0"/>
      <w:marRight w:val="0"/>
      <w:marTop w:val="0"/>
      <w:marBottom w:val="0"/>
      <w:divBdr>
        <w:top w:val="none" w:sz="0" w:space="0" w:color="auto"/>
        <w:left w:val="none" w:sz="0" w:space="0" w:color="auto"/>
        <w:bottom w:val="none" w:sz="0" w:space="0" w:color="auto"/>
        <w:right w:val="none" w:sz="0" w:space="0" w:color="auto"/>
      </w:divBdr>
    </w:div>
    <w:div w:id="108653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1429</Words>
  <Characters>7865</Characters>
  <Application>Microsoft Office Word</Application>
  <DocSecurity>0</DocSecurity>
  <Lines>65</Lines>
  <Paragraphs>18</Paragraphs>
  <ScaleCrop>false</ScaleCrop>
  <Company>ARCEP</Company>
  <LinksUpToDate>false</LinksUpToDate>
  <CharactersWithSpaces>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3</cp:revision>
  <dcterms:created xsi:type="dcterms:W3CDTF">2016-09-14T11:31:00Z</dcterms:created>
  <dcterms:modified xsi:type="dcterms:W3CDTF">2016-09-14T11:37:00Z</dcterms:modified>
</cp:coreProperties>
</file>